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3803F" w14:textId="77777777" w:rsidR="00A539B9" w:rsidRDefault="00A539B9"/>
    <w:tbl>
      <w:tblPr>
        <w:tblStyle w:val="TableauGrille4-Accentuation1"/>
        <w:tblW w:w="0" w:type="auto"/>
        <w:tblLook w:val="04A0" w:firstRow="1" w:lastRow="0" w:firstColumn="1" w:lastColumn="0" w:noHBand="0" w:noVBand="1"/>
      </w:tblPr>
      <w:tblGrid>
        <w:gridCol w:w="3585"/>
        <w:gridCol w:w="10805"/>
      </w:tblGrid>
      <w:tr w:rsidR="00391655" w:rsidRPr="00391655" w14:paraId="47D49E20" w14:textId="77777777" w:rsidTr="00391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EEDE59E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Élément</w:t>
            </w:r>
          </w:p>
        </w:tc>
        <w:tc>
          <w:tcPr>
            <w:tcW w:w="0" w:type="auto"/>
            <w:vAlign w:val="center"/>
            <w:hideMark/>
          </w:tcPr>
          <w:p w14:paraId="478EAECC" w14:textId="77777777" w:rsidR="00391655" w:rsidRPr="00391655" w:rsidRDefault="00391655" w:rsidP="00391655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Description</w:t>
            </w:r>
          </w:p>
        </w:tc>
      </w:tr>
      <w:tr w:rsidR="00391655" w:rsidRPr="00391655" w14:paraId="12EF4302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2C31F8C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Définition</w:t>
            </w:r>
          </w:p>
        </w:tc>
        <w:tc>
          <w:tcPr>
            <w:tcW w:w="0" w:type="auto"/>
            <w:vAlign w:val="center"/>
            <w:hideMark/>
          </w:tcPr>
          <w:p w14:paraId="529E033E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Mouvement idéologique et politique moderne visant le retour du peuple juif sur la terre d’Israël et l’établissement d’un foyer national juif.</w:t>
            </w:r>
          </w:p>
        </w:tc>
      </w:tr>
      <w:tr w:rsidR="00391655" w:rsidRPr="00391655" w14:paraId="3549012D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FEA6343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Origine du terme</w:t>
            </w:r>
          </w:p>
        </w:tc>
        <w:tc>
          <w:tcPr>
            <w:tcW w:w="0" w:type="auto"/>
            <w:vAlign w:val="center"/>
            <w:hideMark/>
          </w:tcPr>
          <w:p w14:paraId="5DEF02BD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« Sion » désigne Jérusalem et, par extension, la terre d’Israël dans la Bible.</w:t>
            </w:r>
          </w:p>
        </w:tc>
      </w:tr>
      <w:tr w:rsidR="00391655" w:rsidRPr="00391655" w14:paraId="664D4448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CBEE022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Contexte de naissance</w:t>
            </w:r>
          </w:p>
        </w:tc>
        <w:tc>
          <w:tcPr>
            <w:tcW w:w="0" w:type="auto"/>
            <w:vAlign w:val="center"/>
            <w:hideMark/>
          </w:tcPr>
          <w:p w14:paraId="51A94873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Fin du XIXᵉ siècle, en réaction à l’antisémitisme, aux persécutions et à la dispersion du peuple juif.</w:t>
            </w:r>
          </w:p>
        </w:tc>
      </w:tr>
      <w:tr w:rsidR="00391655" w:rsidRPr="00391655" w14:paraId="0494C1BC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D417C90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Nature initiale</w:t>
            </w:r>
          </w:p>
        </w:tc>
        <w:tc>
          <w:tcPr>
            <w:tcW w:w="0" w:type="auto"/>
            <w:vAlign w:val="center"/>
            <w:hideMark/>
          </w:tcPr>
          <w:p w14:paraId="14546433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Majoritairement laïque et politique à l’origine, avant toute lecture religieuse structurée.</w:t>
            </w:r>
          </w:p>
        </w:tc>
      </w:tr>
      <w:tr w:rsidR="00391655" w:rsidRPr="00391655" w14:paraId="20BB3A6D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9D90E88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Fondateur du sionisme politique</w:t>
            </w:r>
          </w:p>
        </w:tc>
        <w:tc>
          <w:tcPr>
            <w:tcW w:w="0" w:type="auto"/>
            <w:vAlign w:val="center"/>
            <w:hideMark/>
          </w:tcPr>
          <w:p w14:paraId="770F4AF3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Theodor Herzl, lors du congrès sioniste de 1897.</w:t>
            </w:r>
          </w:p>
        </w:tc>
      </w:tr>
      <w:tr w:rsidR="00391655" w:rsidRPr="00391655" w14:paraId="001F5124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9BD1B86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Objectif principal</w:t>
            </w:r>
          </w:p>
        </w:tc>
        <w:tc>
          <w:tcPr>
            <w:tcW w:w="0" w:type="auto"/>
            <w:vAlign w:val="center"/>
            <w:hideMark/>
          </w:tcPr>
          <w:p w14:paraId="76D5B8CC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Création et maintien d’un État juif souverain et sécurisé.</w:t>
            </w:r>
          </w:p>
        </w:tc>
      </w:tr>
      <w:tr w:rsidR="00391655" w:rsidRPr="00391655" w14:paraId="5BE6034F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C787C43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Étapes historiques clés</w:t>
            </w:r>
          </w:p>
        </w:tc>
        <w:tc>
          <w:tcPr>
            <w:tcW w:w="0" w:type="auto"/>
            <w:vAlign w:val="center"/>
            <w:hideMark/>
          </w:tcPr>
          <w:p w14:paraId="4543FA4C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Déclaration Balfour en 1917 et création de l’État d’Israël en 1948.</w:t>
            </w:r>
          </w:p>
        </w:tc>
      </w:tr>
      <w:tr w:rsidR="00391655" w:rsidRPr="00391655" w14:paraId="673B9FFF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219D567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Sionisme politique</w:t>
            </w:r>
          </w:p>
        </w:tc>
        <w:tc>
          <w:tcPr>
            <w:tcW w:w="0" w:type="auto"/>
            <w:vAlign w:val="center"/>
            <w:hideMark/>
          </w:tcPr>
          <w:p w14:paraId="541C92E1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Courant pragmatique et laïc centré sur la souveraineté nationale.</w:t>
            </w:r>
          </w:p>
        </w:tc>
      </w:tr>
      <w:tr w:rsidR="00391655" w:rsidRPr="00391655" w14:paraId="59756174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575E6CE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Sionisme culturel</w:t>
            </w:r>
          </w:p>
        </w:tc>
        <w:tc>
          <w:tcPr>
            <w:tcW w:w="0" w:type="auto"/>
            <w:vAlign w:val="center"/>
            <w:hideMark/>
          </w:tcPr>
          <w:p w14:paraId="47245FA0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Courant visant la préservation de l’identité juive, de la langue hébraïque et de la culture.</w:t>
            </w:r>
          </w:p>
        </w:tc>
      </w:tr>
      <w:tr w:rsidR="00391655" w:rsidRPr="00391655" w14:paraId="50B9C2D0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728814D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Sionisme religieux</w:t>
            </w:r>
          </w:p>
        </w:tc>
        <w:tc>
          <w:tcPr>
            <w:tcW w:w="0" w:type="auto"/>
            <w:vAlign w:val="center"/>
            <w:hideMark/>
          </w:tcPr>
          <w:p w14:paraId="37F51880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Courant interprétant le retour en Israël comme un acte voulu par Dieu, parfois lié à l’attente messianique.</w:t>
            </w:r>
          </w:p>
        </w:tc>
      </w:tr>
      <w:tr w:rsidR="00391655" w:rsidRPr="00391655" w14:paraId="109D4BFF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1737704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Sionisme socialiste</w:t>
            </w:r>
          </w:p>
        </w:tc>
        <w:tc>
          <w:tcPr>
            <w:tcW w:w="0" w:type="auto"/>
            <w:vAlign w:val="center"/>
            <w:hideMark/>
          </w:tcPr>
          <w:p w14:paraId="45A97293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Courant influent aux débuts d’Israël, mettant l’accent sur une société égalitaire et communautaire.</w:t>
            </w:r>
          </w:p>
        </w:tc>
      </w:tr>
      <w:tr w:rsidR="00391655" w:rsidRPr="00391655" w14:paraId="01328F1D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D79255D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Rapport à la Bible</w:t>
            </w:r>
          </w:p>
        </w:tc>
        <w:tc>
          <w:tcPr>
            <w:tcW w:w="0" w:type="auto"/>
            <w:vAlign w:val="center"/>
            <w:hideMark/>
          </w:tcPr>
          <w:p w14:paraId="2B9B55AD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Variable selon les courants, identitaire pour les laïcs, prophétique et territorial pour les religieux.</w:t>
            </w:r>
          </w:p>
        </w:tc>
      </w:tr>
      <w:tr w:rsidR="00391655" w:rsidRPr="00391655" w14:paraId="2B754B09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BA90708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Vision messianique</w:t>
            </w:r>
          </w:p>
        </w:tc>
        <w:tc>
          <w:tcPr>
            <w:tcW w:w="0" w:type="auto"/>
            <w:vAlign w:val="center"/>
            <w:hideMark/>
          </w:tcPr>
          <w:p w14:paraId="6E7F79EC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Le Messie est encore attendu dans le sionisme religieux, Jésus n’étant pas reconnu comme le Messie.</w:t>
            </w:r>
          </w:p>
        </w:tc>
      </w:tr>
      <w:tr w:rsidR="00391655" w:rsidRPr="00391655" w14:paraId="0F4381D8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DCC508A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Ce que le sionisme n’est pas</w:t>
            </w:r>
          </w:p>
        </w:tc>
        <w:tc>
          <w:tcPr>
            <w:tcW w:w="0" w:type="auto"/>
            <w:vAlign w:val="center"/>
            <w:hideMark/>
          </w:tcPr>
          <w:p w14:paraId="323AA7C8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Il n’est ni l’ensemble du judaïsme, ni une doctrine chrétienne, ni une vision eschatologique unique.</w:t>
            </w:r>
          </w:p>
        </w:tc>
      </w:tr>
      <w:tr w:rsidR="00391655" w:rsidRPr="00391655" w14:paraId="7F8112D6" w14:textId="77777777" w:rsidTr="00391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BD8FB4F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Point de divergence avec la foi chrétienne</w:t>
            </w:r>
          </w:p>
        </w:tc>
        <w:tc>
          <w:tcPr>
            <w:tcW w:w="0" w:type="auto"/>
            <w:vAlign w:val="center"/>
            <w:hideMark/>
          </w:tcPr>
          <w:p w14:paraId="3E2DD63F" w14:textId="77777777" w:rsidR="00391655" w:rsidRPr="00391655" w:rsidRDefault="00391655" w:rsidP="00391655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Le refus de reconnaître Jésus comme l’accomplissement des promesses messianiques.</w:t>
            </w:r>
          </w:p>
        </w:tc>
      </w:tr>
      <w:tr w:rsidR="00391655" w:rsidRPr="00391655" w14:paraId="4912E27A" w14:textId="77777777" w:rsidTr="0039165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5BCA7C9" w14:textId="77777777" w:rsidR="00391655" w:rsidRPr="00391655" w:rsidRDefault="00391655" w:rsidP="00391655">
            <w:pPr>
              <w:spacing w:before="100" w:beforeAutospacing="1" w:after="100" w:afterAutospacing="1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Idée centrale</w:t>
            </w:r>
          </w:p>
        </w:tc>
        <w:tc>
          <w:tcPr>
            <w:tcW w:w="0" w:type="auto"/>
            <w:vAlign w:val="center"/>
            <w:hideMark/>
          </w:tcPr>
          <w:p w14:paraId="017D903B" w14:textId="77777777" w:rsidR="00391655" w:rsidRPr="00391655" w:rsidRDefault="00391655" w:rsidP="00391655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/>
                <w:lang w:eastAsia="fr-CA"/>
              </w:rPr>
            </w:pPr>
            <w:r w:rsidRPr="00391655">
              <w:rPr>
                <w:rFonts w:ascii="Calibri Light" w:eastAsia="Times New Roman" w:hAnsi="Calibri Light"/>
                <w:lang w:eastAsia="fr-CA"/>
              </w:rPr>
              <w:t>Mouvement de restauration nationale moderne, pluriel dans ses formes, distinct théologiquement de la foi chrétienne.</w:t>
            </w:r>
          </w:p>
        </w:tc>
      </w:tr>
    </w:tbl>
    <w:p w14:paraId="03861D02" w14:textId="77777777" w:rsidR="00391655" w:rsidRDefault="00391655"/>
    <w:sectPr w:rsidR="00391655" w:rsidSect="003916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8D5E7" w14:textId="77777777" w:rsidR="005234F3" w:rsidRDefault="005234F3" w:rsidP="00391655">
      <w:pPr>
        <w:spacing w:before="0"/>
      </w:pPr>
      <w:r>
        <w:separator/>
      </w:r>
    </w:p>
  </w:endnote>
  <w:endnote w:type="continuationSeparator" w:id="0">
    <w:p w14:paraId="28259D72" w14:textId="77777777" w:rsidR="005234F3" w:rsidRDefault="005234F3" w:rsidP="0039165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harter Roman">
    <w:altName w:val="CHARTER ROMAN"/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480B6" w14:textId="77777777" w:rsidR="00391655" w:rsidRDefault="0039165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B7540" w14:textId="77777777" w:rsidR="00391655" w:rsidRDefault="0039165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247EA" w14:textId="77777777" w:rsidR="00391655" w:rsidRDefault="0039165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669BF" w14:textId="77777777" w:rsidR="005234F3" w:rsidRDefault="005234F3" w:rsidP="00391655">
      <w:pPr>
        <w:spacing w:before="0"/>
      </w:pPr>
      <w:r>
        <w:separator/>
      </w:r>
    </w:p>
  </w:footnote>
  <w:footnote w:type="continuationSeparator" w:id="0">
    <w:p w14:paraId="5C221847" w14:textId="77777777" w:rsidR="005234F3" w:rsidRDefault="005234F3" w:rsidP="00391655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0551A" w14:textId="77777777" w:rsidR="00391655" w:rsidRDefault="0039165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1784F" w14:textId="31D79C1E" w:rsidR="00391655" w:rsidRPr="00391655" w:rsidRDefault="00391655" w:rsidP="00391655">
    <w:pPr>
      <w:pStyle w:val="Titre"/>
      <w:jc w:val="center"/>
      <w:rPr>
        <w:rFonts w:ascii="Charter Roman" w:hAnsi="Charter Roman"/>
      </w:rPr>
    </w:pPr>
    <w:r w:rsidRPr="00391655">
      <w:rPr>
        <w:rFonts w:ascii="Charter Roman" w:hAnsi="Charter Roman"/>
      </w:rPr>
      <w:t>Tableau récapitulatif du sionisme juif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DB08F" w14:textId="77777777" w:rsidR="00391655" w:rsidRDefault="0039165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655"/>
    <w:rsid w:val="00070950"/>
    <w:rsid w:val="00132F95"/>
    <w:rsid w:val="0020490D"/>
    <w:rsid w:val="00391655"/>
    <w:rsid w:val="005234F3"/>
    <w:rsid w:val="00525E18"/>
    <w:rsid w:val="008700B9"/>
    <w:rsid w:val="00A539B9"/>
    <w:rsid w:val="00B821B3"/>
    <w:rsid w:val="00D3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09574"/>
  <w15:chartTrackingRefBased/>
  <w15:docId w15:val="{AFE08D06-7CF4-3744-B49A-056FF84B6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harter Roman" w:eastAsiaTheme="minorHAnsi" w:hAnsi="Charter Roman" w:cs="Calibri Light"/>
        <w:sz w:val="24"/>
        <w:szCs w:val="24"/>
        <w:lang w:val="fr-CA" w:eastAsia="en-US" w:bidi="ar-SA"/>
      </w:rPr>
    </w:rPrDefault>
    <w:pPrDefault>
      <w:pPr>
        <w:spacing w:before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950"/>
  </w:style>
  <w:style w:type="paragraph" w:styleId="Titre1">
    <w:name w:val="heading 1"/>
    <w:basedOn w:val="Normal"/>
    <w:next w:val="Normal"/>
    <w:link w:val="Titre1Car"/>
    <w:uiPriority w:val="9"/>
    <w:qFormat/>
    <w:rsid w:val="00132F95"/>
    <w:pPr>
      <w:keepNext/>
      <w:keepLines/>
      <w:spacing w:before="360" w:after="80"/>
      <w:outlineLvl w:val="0"/>
    </w:pPr>
    <w:rPr>
      <w:rFonts w:eastAsiaTheme="majorEastAsia" w:cstheme="majorBidi"/>
      <w:b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32F95"/>
    <w:pPr>
      <w:keepNext/>
      <w:keepLines/>
      <w:spacing w:after="80"/>
      <w:outlineLvl w:val="1"/>
    </w:pPr>
    <w:rPr>
      <w:rFonts w:eastAsiaTheme="majorEastAsia" w:cstheme="majorBidi"/>
      <w:b/>
      <w:sz w:val="36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32F95"/>
    <w:pPr>
      <w:keepNext/>
      <w:keepLines/>
      <w:spacing w:after="80"/>
      <w:outlineLvl w:val="2"/>
    </w:pPr>
    <w:rPr>
      <w:rFonts w:asciiTheme="minorHAnsi" w:eastAsiaTheme="majorEastAsia" w:hAnsiTheme="minorHAnsi" w:cstheme="majorBidi"/>
      <w:b/>
      <w:sz w:val="3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132F9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b/>
      <w:iCs/>
      <w:sz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2F9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b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9165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9165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91655"/>
    <w:pPr>
      <w:keepNext/>
      <w:keepLines/>
      <w:spacing w:befor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91655"/>
    <w:pPr>
      <w:keepNext/>
      <w:keepLines/>
      <w:spacing w:before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2F95"/>
    <w:rPr>
      <w:rFonts w:asciiTheme="majorHAnsi" w:eastAsiaTheme="majorEastAsia" w:hAnsiTheme="majorHAnsi" w:cstheme="majorBidi"/>
      <w:b/>
      <w:color w:val="000000" w:themeColor="text1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132F95"/>
    <w:rPr>
      <w:rFonts w:asciiTheme="majorHAnsi" w:eastAsiaTheme="majorEastAsia" w:hAnsiTheme="majorHAnsi" w:cstheme="majorBidi"/>
      <w:b/>
      <w:color w:val="000000" w:themeColor="text1"/>
      <w:sz w:val="36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132F95"/>
    <w:rPr>
      <w:rFonts w:asciiTheme="minorHAnsi" w:eastAsiaTheme="majorEastAsia" w:hAnsiTheme="minorHAnsi" w:cstheme="majorBidi"/>
      <w:b/>
      <w:color w:val="000000" w:themeColor="text1"/>
      <w:sz w:val="32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132F95"/>
    <w:rPr>
      <w:rFonts w:asciiTheme="minorHAnsi" w:eastAsiaTheme="majorEastAsia" w:hAnsiTheme="minorHAnsi" w:cstheme="majorBidi"/>
      <w:b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rsid w:val="00132F95"/>
    <w:rPr>
      <w:rFonts w:asciiTheme="minorHAnsi" w:eastAsiaTheme="majorEastAsia" w:hAnsiTheme="minorHAnsi" w:cstheme="majorBidi"/>
      <w:b/>
      <w:iCs/>
      <w:color w:val="000000" w:themeColor="text1"/>
      <w:sz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39165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9165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9165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9165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91655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91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9165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9165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91655"/>
    <w:pPr>
      <w:spacing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9165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9165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9165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916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9165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91655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391655"/>
    <w:pPr>
      <w:spacing w:before="100" w:beforeAutospacing="1" w:after="100" w:afterAutospacing="1"/>
    </w:pPr>
    <w:rPr>
      <w:rFonts w:ascii="Calibri Light" w:eastAsia="Times New Roman" w:hAnsi="Calibri Light"/>
      <w:lang w:eastAsia="fr-CA"/>
    </w:rPr>
  </w:style>
  <w:style w:type="table" w:styleId="TableauGrille1clair-Accentuation1">
    <w:name w:val="Grid Table 1 Light Accent 1"/>
    <w:basedOn w:val="TableauNormal"/>
    <w:uiPriority w:val="46"/>
    <w:rsid w:val="00391655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3-Accentuation1">
    <w:name w:val="Grid Table 3 Accent 1"/>
    <w:basedOn w:val="TableauNormal"/>
    <w:uiPriority w:val="48"/>
    <w:rsid w:val="00391655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leauGrille4-Accentuation1">
    <w:name w:val="Grid Table 4 Accent 1"/>
    <w:basedOn w:val="TableauNormal"/>
    <w:uiPriority w:val="49"/>
    <w:rsid w:val="00391655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391655"/>
    <w:pPr>
      <w:tabs>
        <w:tab w:val="center" w:pos="4320"/>
        <w:tab w:val="right" w:pos="8640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391655"/>
  </w:style>
  <w:style w:type="paragraph" w:styleId="Pieddepage">
    <w:name w:val="footer"/>
    <w:basedOn w:val="Normal"/>
    <w:link w:val="PieddepageCar"/>
    <w:uiPriority w:val="99"/>
    <w:unhideWhenUsed/>
    <w:rsid w:val="00391655"/>
    <w:pPr>
      <w:tabs>
        <w:tab w:val="center" w:pos="4320"/>
        <w:tab w:val="right" w:pos="8640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3916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308</Words>
  <Characters>1535</Characters>
  <Application>Microsoft Office Word</Application>
  <DocSecurity>0</DocSecurity>
  <Lines>26</Lines>
  <Paragraphs>7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Thibeault</dc:creator>
  <cp:keywords/>
  <dc:description/>
  <cp:lastModifiedBy>Denis Thibeault</cp:lastModifiedBy>
  <cp:revision>1</cp:revision>
  <dcterms:created xsi:type="dcterms:W3CDTF">2026-02-10T14:06:00Z</dcterms:created>
  <dcterms:modified xsi:type="dcterms:W3CDTF">2026-02-10T14:10:00Z</dcterms:modified>
</cp:coreProperties>
</file>